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OFERTĂ FINANCIARĂ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Noi, cei de la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 Kloth Invest,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ne dorim să te ghidăm în acest proces de accesare și implementare a finanțărilor nerambursabile. `</w:t>
      </w:r>
    </w:p>
    <w:p w:rsidR="00000000" w:rsidDel="00000000" w:rsidP="00000000" w:rsidRDefault="00000000" w:rsidRPr="00000000" w14:paraId="00000004">
      <w:pPr>
        <w:rPr>
          <w:rFonts w:ascii="Syne" w:cs="Syne" w:eastAsia="Syne" w:hAnsi="Syne"/>
          <w:b w:val="1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Bazându-ne pe experiența cumulată și pe dorința de a-ți oferi un pachet complet, cu o abordare diferită și personalizată, ne propunem un parteneriat de lungă durată bazat pe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încredere și transparență. </w:t>
      </w:r>
    </w:p>
    <w:p w:rsidR="00000000" w:rsidDel="00000000" w:rsidP="00000000" w:rsidRDefault="00000000" w:rsidRPr="00000000" w14:paraId="00000005">
      <w:pPr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Ne angajăm să facem toate demersurile necesare pentru a asigura elaborarea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corectă și completă 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 documentației specifice programului de finanțare accesat.</w:t>
      </w:r>
    </w:p>
    <w:p w:rsidR="00000000" w:rsidDel="00000000" w:rsidP="00000000" w:rsidRDefault="00000000" w:rsidRPr="00000000" w14:paraId="00000006">
      <w:pPr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În elaborarea documentației și scrierea unui proiect de succes trebuie avute în vedere anumite criterii și reguli specifice fiecărui program de finanțare.</w:t>
      </w:r>
    </w:p>
    <w:p w:rsidR="00000000" w:rsidDel="00000000" w:rsidP="00000000" w:rsidRDefault="00000000" w:rsidRPr="00000000" w14:paraId="00000007">
      <w:pPr>
        <w:rPr>
          <w:rFonts w:ascii="Syne" w:cs="Syne" w:eastAsia="Syne" w:hAnsi="Syne"/>
          <w:b w:val="1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Serviciile noastre complete de consultanţă constau în: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Asistență în vederea verificării eligibilității și în pregătirea tuturor documentelor necesare pentru elaborarea proiectului.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Elaborare propriu-zisă a proiectului de finanțare.</w:t>
      </w:r>
    </w:p>
    <w:p w:rsidR="00000000" w:rsidDel="00000000" w:rsidP="00000000" w:rsidRDefault="00000000" w:rsidRPr="00000000" w14:paraId="0000000A">
      <w:pPr>
        <w:spacing w:after="0" w:lineRule="auto"/>
        <w:ind w:left="720" w:firstLine="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Asistență pe perioada de evaluare a proiectului (conformitate administrativă, evaluare tehnică și financiară, respectarea criteriilor de eligibilitate și de selecție)</w:t>
      </w:r>
    </w:p>
    <w:p w:rsidR="00000000" w:rsidDel="00000000" w:rsidP="00000000" w:rsidRDefault="00000000" w:rsidRPr="00000000" w14:paraId="0000000C">
      <w:pPr>
        <w:spacing w:after="0" w:lineRule="auto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Pregătirea răspunsurilor la solicitările de clarificări emise de autoritatea finanțatoare, aprobarea proiectului și semnarea contractului de finanțare. </w:t>
      </w:r>
    </w:p>
    <w:p w:rsidR="00000000" w:rsidDel="00000000" w:rsidP="00000000" w:rsidRDefault="00000000" w:rsidRPr="00000000" w14:paraId="0000000E">
      <w:pPr>
        <w:spacing w:after="0" w:lineRule="auto"/>
        <w:ind w:left="720" w:firstLine="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Implicarea în elaborarea documentațiilor pentru derularea procedurilor de achiziții din cadrul proiectului și/sau a notificărilor și actelor adiționale la contractul de finanțare.</w:t>
      </w:r>
    </w:p>
    <w:p w:rsidR="00000000" w:rsidDel="00000000" w:rsidP="00000000" w:rsidRDefault="00000000" w:rsidRPr="00000000" w14:paraId="00000010">
      <w:pPr>
        <w:spacing w:after="0" w:lineRule="auto"/>
        <w:ind w:left="720" w:firstLine="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Oferim asistență privind elaborarea documentației de tipul: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tehnice specifice;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rapoarte de progres; 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depunere cereri de plată sau cereri de rambursare;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documentației privind vizitele efectuate la locul de implementare a proiectului de către experții veniți să verifice din partea finanțatorului.</w:t>
      </w:r>
    </w:p>
    <w:p w:rsidR="00000000" w:rsidDel="00000000" w:rsidP="00000000" w:rsidRDefault="00000000" w:rsidRPr="00000000" w14:paraId="00000016">
      <w:pPr>
        <w:ind w:left="0" w:firstLine="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Practic, urmărim ca execuția proiectului să se desfășoare în cele mai bune condiții, respectând cerințele programului de finanțare și a condițiilor legale de implementare, asigurând, astfel, finalizarea cu succes a acestuia.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Asistență în procesul de monitorizare prin: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elaborarea documentației specifice;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întocmirea rapoartelor de progres și monitorizare;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elaborarea fișelor de constatare; 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consiliere privind vizitele de monitorizare efectuate la fața locului de către experți din partea finanțatorului, etc.</w:t>
      </w:r>
    </w:p>
    <w:p w:rsidR="00000000" w:rsidDel="00000000" w:rsidP="00000000" w:rsidRDefault="00000000" w:rsidRPr="00000000" w14:paraId="0000001E">
      <w:pPr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</w:rPr>
        <w:drawing>
          <wp:inline distB="114300" distT="114300" distL="114300" distR="114300">
            <wp:extent cx="5943600" cy="1993900"/>
            <wp:effectExtent b="0" l="0" r="0" t="0"/>
            <wp:docPr id="2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Syne" w:cs="Syne" w:eastAsia="Syne" w:hAnsi="Syne"/>
          <w:b w:val="1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Prin prezenta, vă înaintăm oferta noastră financiară pentru scrierea, depunerea, implementarea si monitorizarea proiectului dumneavoastră, în cadrul programului de finanțare: 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APELUL DE PROIECTE PR BI P1/1.6/1/2024 - Apel dedicat sprijinului IMM pentru atingerea unei intensități digitale ridicate în regiunea București-Ilfov. </w:t>
      </w:r>
    </w:p>
    <w:p w:rsidR="00000000" w:rsidDel="00000000" w:rsidP="00000000" w:rsidRDefault="00000000" w:rsidRPr="00000000" w14:paraId="00000021">
      <w:pPr>
        <w:rPr>
          <w:rFonts w:ascii="Syne" w:cs="Syne" w:eastAsia="Syne" w:hAnsi="Syne"/>
          <w:b w:val="1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Astfel, puteți beneficia de ajutoare nerambursabile, fiind finanțate inclusiv cheltuielile cu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, dotare, consultanță, echipamente.</w:t>
      </w:r>
    </w:p>
    <w:p w:rsidR="00000000" w:rsidDel="00000000" w:rsidP="00000000" w:rsidRDefault="00000000" w:rsidRPr="00000000" w14:paraId="00000022">
      <w:pPr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Tipul de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cheltuieli eligibile 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sunt: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echipamente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dotări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, active corporale; servicii; cheltuieli cu active necorporale, brevete, licenţe, mărci comerciale, programe informatice, alte drepturi şi active similare.</w:t>
      </w:r>
    </w:p>
    <w:p w:rsidR="00000000" w:rsidDel="00000000" w:rsidP="00000000" w:rsidRDefault="00000000" w:rsidRPr="00000000" w14:paraId="00000023">
      <w:pPr>
        <w:rPr>
          <w:rFonts w:ascii="Syne" w:cs="Syne" w:eastAsia="Syne" w:hAnsi="Syne"/>
          <w:b w:val="1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Contravaloarea serviciilor de consultanţă în vederea realizării proiectului de investiţii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se percepe din valoarea ajutorului nerambursabil.</w:t>
      </w:r>
    </w:p>
    <w:p w:rsidR="00000000" w:rsidDel="00000000" w:rsidP="00000000" w:rsidRDefault="00000000" w:rsidRPr="00000000" w14:paraId="00000024">
      <w:pPr>
        <w:rPr>
          <w:rFonts w:ascii="Syne" w:cs="Syne" w:eastAsia="Syne" w:hAnsi="Syne"/>
          <w:b w:val="1"/>
          <w:color w:val="0000ff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color w:val="0000ff"/>
          <w:sz w:val="24"/>
          <w:szCs w:val="24"/>
          <w:rtl w:val="0"/>
        </w:rPr>
        <w:t xml:space="preserve">DE REȚINUT!</w:t>
      </w:r>
    </w:p>
    <w:p w:rsidR="00000000" w:rsidDel="00000000" w:rsidP="00000000" w:rsidRDefault="00000000" w:rsidRPr="00000000" w14:paraId="00000025">
      <w:pPr>
        <w:rPr>
          <w:rFonts w:ascii="Syne" w:cs="Syne" w:eastAsia="Syne" w:hAnsi="Syne"/>
          <w:b w:val="1"/>
          <w:color w:val="0000ff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Contravaloarea sumelor aferente comisionului de succes plătite de beneficiar este </w:t>
      </w:r>
      <w:r w:rsidDel="00000000" w:rsidR="00000000" w:rsidRPr="00000000">
        <w:rPr>
          <w:rFonts w:ascii="Syne" w:cs="Syne" w:eastAsia="Syne" w:hAnsi="Syne"/>
          <w:b w:val="1"/>
          <w:color w:val="0000ff"/>
          <w:sz w:val="24"/>
          <w:szCs w:val="24"/>
          <w:rtl w:val="0"/>
        </w:rPr>
        <w:t xml:space="preserve">ELIGIBILĂ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 prin proiect.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lineRule="auto"/>
        <w:ind w:left="78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2400 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de lei la semnarea contractului de consultanta;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lineRule="auto"/>
        <w:ind w:left="78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2400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de lei la semnarea P-V de predare-primire a proiectului în vederea depunerii proiectului;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lineRule="auto"/>
        <w:ind w:left="78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1200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de lei după depunerea proiectului.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lineRule="auto"/>
        <w:ind w:left="78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5%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comision de succes din valoarea ajutorului nerambursabil - achitat în tranșe, după decizia de aprobare a proiectului la finanțare.</w:t>
      </w:r>
    </w:p>
    <w:p w:rsidR="00000000" w:rsidDel="00000000" w:rsidP="00000000" w:rsidRDefault="00000000" w:rsidRPr="00000000" w14:paraId="0000002A">
      <w:pPr>
        <w:spacing w:after="0" w:lineRule="auto"/>
        <w:rPr>
          <w:rFonts w:ascii="Syne" w:cs="Syne" w:eastAsia="Syne" w:hAnsi="Syn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rPr>
          <w:rFonts w:ascii="Syne" w:cs="Syne" w:eastAsia="Syne" w:hAnsi="Syne"/>
          <w:b w:val="1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       *Se adauga TVA pentru costurile enumerate</w:t>
      </w:r>
    </w:p>
    <w:p w:rsidR="00000000" w:rsidDel="00000000" w:rsidP="00000000" w:rsidRDefault="00000000" w:rsidRPr="00000000" w14:paraId="0000002C">
      <w:pPr>
        <w:spacing w:after="0" w:lineRule="auto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6"/>
          <w:szCs w:val="26"/>
          <w:rtl w:val="0"/>
        </w:rPr>
        <w:t xml:space="preserve">Kloth Invest</w:t>
      </w:r>
      <w:r w:rsidDel="00000000" w:rsidR="00000000" w:rsidRPr="00000000">
        <w:rPr>
          <w:rFonts w:ascii="Syne" w:cs="Syne" w:eastAsia="Syne" w:hAnsi="Syne"/>
          <w:sz w:val="26"/>
          <w:szCs w:val="26"/>
          <w:rtl w:val="0"/>
        </w:rPr>
        <w:t xml:space="preserve"> asigură implementarea proiectului si asistență prin departamentele de consultanță pe care le are pe toata durata derulării contractului de finanțare. </w:t>
        <w:br w:type="textWrapping"/>
        <w:br w:type="textWrapping"/>
      </w:r>
      <w:r w:rsidDel="00000000" w:rsidR="00000000" w:rsidRPr="00000000">
        <w:rPr>
          <w:rFonts w:ascii="Syne" w:cs="Syne" w:eastAsia="Syne" w:hAnsi="Syne"/>
          <w:b w:val="1"/>
          <w:sz w:val="26"/>
          <w:szCs w:val="26"/>
          <w:rtl w:val="0"/>
        </w:rPr>
        <w:t xml:space="preserve">Cofinanțarea</w:t>
      </w:r>
      <w:r w:rsidDel="00000000" w:rsidR="00000000" w:rsidRPr="00000000">
        <w:rPr>
          <w:rFonts w:ascii="Syne" w:cs="Syne" w:eastAsia="Syne" w:hAnsi="Syne"/>
          <w:sz w:val="26"/>
          <w:szCs w:val="26"/>
          <w:rtl w:val="0"/>
        </w:rPr>
        <w:t xml:space="preserve"> este asigurată din fonduri proprii.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1437492</wp:posOffset>
            </wp:positionV>
            <wp:extent cx="1625049" cy="1625049"/>
            <wp:effectExtent b="72091" l="72091" r="72091" t="72091"/>
            <wp:wrapNone/>
            <wp:docPr id="17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 rot="21279603">
                      <a:off x="0" y="0"/>
                      <a:ext cx="1625049" cy="162504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2905125</wp:posOffset>
            </wp:positionH>
            <wp:positionV relativeFrom="paragraph">
              <wp:posOffset>1583632</wp:posOffset>
            </wp:positionV>
            <wp:extent cx="2231256" cy="1068246"/>
            <wp:effectExtent b="224943" l="88042" r="88042" t="224943"/>
            <wp:wrapSquare wrapText="bothSides" distB="0" distT="0" distL="0" distR="0"/>
            <wp:docPr id="19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 rot="20863616">
                      <a:off x="0" y="0"/>
                      <a:ext cx="2231256" cy="10682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0" w:type="default"/>
      <w:footerReference r:id="rId11" w:type="default"/>
      <w:pgSz w:h="15840" w:w="12240" w:orient="portrait"/>
      <w:pgMar w:bottom="1440" w:top="1440" w:left="1440" w:right="1440" w:header="283.46456692913387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Syne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tabs>
        <w:tab w:val="center" w:leader="none" w:pos="4819"/>
        <w:tab w:val="right" w:leader="none" w:pos="9610"/>
      </w:tabs>
      <w:spacing w:after="0" w:lineRule="auto"/>
      <w:rPr>
        <w:rFonts w:ascii="Arial" w:cs="Arial" w:eastAsia="Arial" w:hAnsi="Arial"/>
        <w:sz w:val="30"/>
        <w:szCs w:val="3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-50799</wp:posOffset>
              </wp:positionV>
              <wp:extent cx="1866900" cy="363767"/>
              <wp:effectExtent b="0" l="0" r="0" t="0"/>
              <wp:wrapSquare wrapText="bothSides" distB="0" distT="0" distL="114300" distR="114300"/>
              <wp:docPr descr="Telefon/Fax/Mobil: 0749043371…" id="15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432553" y="3612043"/>
                        <a:ext cx="182689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8691a6"/>
                              <w:sz w:val="16"/>
                              <w:vertAlign w:val="baseline"/>
                            </w:rPr>
                            <w:t xml:space="preserve">Telefon/Fax/Mobil: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8691a6"/>
                              <w:sz w:val="16"/>
                              <w:u w:val="single"/>
                              <w:vertAlign w:val="baseline"/>
                            </w:rPr>
                            <w:t xml:space="preserve">0746278278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.000000238418579" w:before="0" w:line="251.00000381469727"/>
                            <w:ind w:left="0" w:right="805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8691a6"/>
                              <w:sz w:val="16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8691a6"/>
                              <w:sz w:val="16"/>
                              <w:vertAlign w:val="baseline"/>
                            </w:rPr>
                            <w:t xml:space="preserve">e-mail: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8691a6"/>
                              <w:sz w:val="16"/>
                              <w:u w:val="single"/>
                              <w:vertAlign w:val="baseline"/>
                            </w:rPr>
                            <w:t xml:space="preserve">office@klothinvest.ro</w:t>
                          </w:r>
                        </w:p>
                      </w:txbxContent>
                    </wps:txbx>
                    <wps:bodyPr anchorCtr="0" anchor="ctr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-50799</wp:posOffset>
              </wp:positionV>
              <wp:extent cx="1866900" cy="363767"/>
              <wp:effectExtent b="0" l="0" r="0" t="0"/>
              <wp:wrapSquare wrapText="bothSides" distB="0" distT="0" distL="114300" distR="114300"/>
              <wp:docPr descr="Telefon/Fax/Mobil: 0749043371…" id="15" name="image7.png"/>
              <a:graphic>
                <a:graphicData uri="http://schemas.openxmlformats.org/drawingml/2006/picture">
                  <pic:pic>
                    <pic:nvPicPr>
                      <pic:cNvPr descr="Telefon/Fax/Mobil: 0749043371…"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66900" cy="36376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4025900</wp:posOffset>
              </wp:positionH>
              <wp:positionV relativeFrom="paragraph">
                <wp:posOffset>-177799</wp:posOffset>
              </wp:positionV>
              <wp:extent cx="1692275" cy="588645"/>
              <wp:effectExtent b="0" l="0" r="0" t="0"/>
              <wp:wrapNone/>
              <wp:docPr descr="J3/970/2021, | C.U.I.: 44112464 RO55BTRLRONCRT0599751801" id="1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518913" y="3504728"/>
                        <a:ext cx="1654175" cy="550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8691a6"/>
                              <w:sz w:val="16"/>
                              <w:vertAlign w:val="baseline"/>
                            </w:rPr>
                            <w:t xml:space="preserve">J3/970/2021,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c00000"/>
                              <w:sz w:val="16"/>
                              <w:vertAlign w:val="baseline"/>
                            </w:rPr>
                            <w:t xml:space="preserve">|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8691a6"/>
                              <w:sz w:val="16"/>
                              <w:vertAlign w:val="baseline"/>
                            </w:rPr>
                            <w:t xml:space="preserve">C.U.I.: 44112464 RO55BTRLRONCRT0599751801</w:t>
                          </w:r>
                        </w:p>
                      </w:txbxContent>
                    </wps:txbx>
                    <wps:bodyPr anchorCtr="0" anchor="ctr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4025900</wp:posOffset>
              </wp:positionH>
              <wp:positionV relativeFrom="paragraph">
                <wp:posOffset>-177799</wp:posOffset>
              </wp:positionV>
              <wp:extent cx="1692275" cy="588645"/>
              <wp:effectExtent b="0" l="0" r="0" t="0"/>
              <wp:wrapNone/>
              <wp:docPr descr="J3/970/2021, | C.U.I.: 44112464 RO55BTRLRONCRT0599751801" id="14" name="image6.png"/>
              <a:graphic>
                <a:graphicData uri="http://schemas.openxmlformats.org/drawingml/2006/picture">
                  <pic:pic>
                    <pic:nvPicPr>
                      <pic:cNvPr descr="J3/970/2021, | C.U.I.: 44112464 RO55BTRLRONCRT0599751801"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92275" cy="5886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2680970</wp:posOffset>
          </wp:positionH>
          <wp:positionV relativeFrom="paragraph">
            <wp:posOffset>-60321</wp:posOffset>
          </wp:positionV>
          <wp:extent cx="365760" cy="318868"/>
          <wp:effectExtent b="0" l="0" r="0" t="0"/>
          <wp:wrapNone/>
          <wp:docPr id="16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5760" cy="31886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1">
    <w:pPr>
      <w:rPr>
        <w:rFonts w:ascii="Arial" w:cs="Arial" w:eastAsia="Arial" w:hAnsi="Arial"/>
        <w:sz w:val="30"/>
        <w:szCs w:val="3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jc w:val="center"/>
      <w:rPr>
        <w:rFonts w:ascii="Syne" w:cs="Syne" w:eastAsia="Syne" w:hAnsi="Syne"/>
        <w:b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2842260" cy="645160"/>
          <wp:effectExtent b="0" l="0" r="0" t="0"/>
          <wp:wrapNone/>
          <wp:docPr id="1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42260" cy="6451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F">
    <w:pPr>
      <w:rPr>
        <w:rFonts w:ascii="Syne" w:cs="Syne" w:eastAsia="Syne" w:hAnsi="Syne"/>
        <w:b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❖"/>
      <w:lvlJc w:val="left"/>
      <w:pPr>
        <w:ind w:left="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BC151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5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yne-regular.ttf"/><Relationship Id="rId2" Type="http://schemas.openxmlformats.org/officeDocument/2006/relationships/font" Target="fonts/Syne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6.png"/><Relationship Id="rId3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JyFZJMLVWCZc3o2udzuURNYrBw==">CgMxLjA4AHIhMV9weG9acWMtVzZqcGcwOW5kVjhaNXFkTEtOWEZScFh2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2023-06-19T10:11:00Z</dcterms:created>
  <dc:creator>Popa Auras</dc:creator>
</cp:coreProperties>
</file>