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Programul Regional</w:t>
        <w:br w:type="textWrapping"/>
        <w:t xml:space="preserve">București-Ilfov</w:t>
      </w:r>
    </w:p>
    <w:p w:rsidR="00000000" w:rsidDel="00000000" w:rsidP="00000000" w:rsidRDefault="00000000" w:rsidRPr="00000000" w14:paraId="00000002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Îți aducem în prim-plan o oportunitate unică pentru microîntreprinderile din Regiunea București-Ilfov. </w:t>
        <w:br w:type="textWrapping"/>
        <w:br w:type="textWrapping"/>
        <w:t xml:space="preserve">Programul oferă suport financiar de la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25.000 -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300.000 Euro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cu scopul de a stimula creșterea economică sustenabilă și inovativă.</w:t>
        <w:br w:type="textWrapping"/>
        <w:br w:type="textWrapping"/>
        <w:t xml:space="preserve">Fie că e vorba de investiții în tehnologie, spații de lucru, promovare online sau dezvoltarea abilităților antreprenoriale,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u w:val="single"/>
          <w:rtl w:val="0"/>
        </w:rPr>
        <w:t xml:space="preserve">Apelul dedicat sprijinului pentru creșterea durabilă și modernizarea tehnologică a microîntreprinderilor din cadrul Priorității 1 - O regiune competitivă prin inovare, digitalizare și întreprinderi dinamice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este aici să aducă un plus afacerii tale.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Noi, la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Kloth Invest,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 angajăm să facem toate demersurile necesare pentru a asigura elaborarea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corectă și completă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documentației specifice programului de finanțare și să te ghidăm în accesarea acestui program, oferindu-ți toate detaliile necesare.</w:t>
        <w:br w:type="textWrapping"/>
        <w:br w:type="textWrapping"/>
        <w:t xml:space="preserve">Hai să maximizăm împreună această oportunitate pentru a transforma afacerea ta.</w:t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br w:type="textWrapping"/>
        <w:t xml:space="preserve">Îți prezentăm detaliile tehnice referitoare la accesarea programului: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Nume Program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Prioritatea 1 - O regiune competitivă prin inovare, digitalizare și întreprinderi dinamice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Instituția Finanțatoare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ADR București-Ilfov;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Valoare Ajutor Nerambursabil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Între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25.000-300.000 Euro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Intensitatea Finanțării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maxim 90% din valoarea cheltuielilor eligibile, pentru o finanțare nerambursabilă de maxim 200.000 euro;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maxim 80% din valoarea cheltuielilor eligibile, pentru o finanțare nerambursabilă de maxim 300.000 euro.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Valoarea Cofinanțării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Rule="auto"/>
        <w:ind w:left="708.6614173228347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minim 10% din valoarea cheltuielilor eligibile​​ pentru punctaj maxim, pentru o finanțare de până la 200.000 euro;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708.6614173228347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minim 20% din valoarea cheltuielilor eligibile pentru punctaj maxim, pentru o finanțare de până la 300.000 euro;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Aplicanți Eligibili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Microîntreprinderi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din regiunea București-Ilfov​​;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Aplicanți Neeligibili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este în stare de insolvență, faliment, reorganizare judiciară, dizolvare, lichidare sau suspendare temporară a activității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face obiectul unui ordin de recuperare în urma unei decizii anterioare a Comisiei Europene,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 află în una din situațiile incompatibile cu acordarea ajutorului de minimis din fonduri publice;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este în dificultate - doar pentru întreprinderi care au, la data declarației, cel puțin 3 ani de la înființare;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fost găsit vinovat pentru comiterea unei fraude/ infracțiuni referitoare la obţinerea şi utilizarea fondurilor europene;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desfășoară activități cu produse cu caracter erotic sau obscen, al jocurilor de noroc;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dețin pagini web care conțin acte sau materiale cu caracter obscen;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au datorii la bugetul de stat;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Domenii de Activitate/CAEN-uri Eligibile: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Lista codurilor CAEN eligibile poate fi consultata prin </w:t>
      </w:r>
      <w:hyperlink r:id="rId7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Click aici!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Condiții Cod CAEN: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Solicitantul are autorizat codul CAEN eligibil vizat de investiție, la locația de implementare a proiectului, indiferent dacă acesta desfășoară sau nu activitate pe respectivul cod CAEN.</w:t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sau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 situația în care investiția pentru care se solicită finanțare presupune înființarea unui punct de lucru nou, la momentul depunerii cererii de finanțare solicitantul are: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codul CAEN eligibil vizat de investiție autorizat fie la sediul social/punctele de lucru existente, fie la terți, iar solicitantul își asumă ca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la finalul etapei de implementare, să facă dovada autorizării codului CAEN inclusiv la locația de implementare a proiectului.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codul CAEN eligibil vizat de investiție înscris în actul constitutiv, iar solicitantul își asumă că la finalul etapei de implementare să facă dovada autorizării codului CAEN la locația de implementare a proiectului.</w:t>
      </w:r>
    </w:p>
    <w:p w:rsidR="00000000" w:rsidDel="00000000" w:rsidP="00000000" w:rsidRDefault="00000000" w:rsidRPr="00000000" w14:paraId="00000020">
      <w:pPr>
        <w:spacing w:after="0" w:lineRule="auto"/>
        <w:ind w:left="144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Solicitantul trebuie să respecte una dintre cerințele de mai sus, în funcție de tipologia investiției, respectiv fie punctul 1, fie punctul 2 litera a), fie punctul 2 litera b).</w:t>
      </w:r>
    </w:p>
    <w:p w:rsidR="00000000" w:rsidDel="00000000" w:rsidP="00000000" w:rsidRDefault="00000000" w:rsidRPr="00000000" w14:paraId="00000022">
      <w:pPr>
        <w:spacing w:after="0" w:lineRule="auto"/>
        <w:ind w:left="0" w:firstLine="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Domenii de Activitate/CAEN-uri Neeligibile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pescuitul și acvacultura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primară a produselor agricole;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primară de produse pescărești și de acvacultură;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prelucrare și comercializare ale produselor agricole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producție sau comercializare de armament, muniții, explozibili, tutun, alcool, substanțe aflate sub control național, plante, substanțe și preparate stupefiante și psihotrope;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legate de export către țări terțe sau către alte state membre;</w:t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Status Program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Activ, cu un buget aprobat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37.627.723,75 EUR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Perioada Depunere Proiecte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Conform ultimelor informații, ghidul final o să fie publicat pe data de 15 octombrie 2024, iar apelul de proiecte se estimează că se va deschide pe 8 ianuarie 2025. Înscrierea în cadrul Programului se comunică pe site-ul instituției înainte de data începerii procesului de înregistrare propriu-zis.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Durata + Obligații Perioada de Implementare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Durata + Obligații Perioada de Sustenabilitate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  <w:br w:type="textWrapping"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Criterii punctaj: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Puteți vedea Grila ETF explicată prin </w:t>
      </w:r>
      <w:hyperlink r:id="rId8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click aici!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Punctajul maxim care se poate obţine este de 100 de puncte.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Punctajul minim pentru accesarea programului este de 70 de puncte.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Selectarea şi contractarea proiectelor se va face după următorul algoritm: Selectarea proiectelor se va face în ordinea descrescătoare a punctajului obţinut.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Opis de Documente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Ghidul fiind încă în consultare publică, lista de mai jos poate să nu fie cea finală, putând interveni modificări pe care le vom anunța.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Tipul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eligibile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Investiții în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active corporale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Construirea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/extinderea spațiilor de producție/ prestare de servicii, inclusiv asigurarea utilităților generale aferente, respectiv alimentare cu apă, canalizare, alimentare cu gaze naturale, agent termic, energie electrică, PSI;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Achiziționarea de echipamente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tehnologii (inclusiv tehnologii verzi),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utilaje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instalații de lucru, precum si dotări încadrate în categoria mijloacelor fixe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: mobilier, echipamente informatice, echipamente de birotică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 etc.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Investiția în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active necorporale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programe informatice, brevete, licențe, mărci comerciale, alte drepturi și active similare utilizate exclusiv în domeniul/domeniile de activitate vizat/e de proiect;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Investițiile pentru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procese de producție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(bunuri sau servicii) prietenoase cu mediul: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achiziționarea de instalații/ echipamente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în scopul obținerii unei economii de energie sau sisteme care utilizează surse regenerabile de energie;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integrarea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tehnologiilor de control al poluării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care contribuie la reducerea emisiilor de gaze cu efect de seră;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obținerea de noi certificări de tipul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ISO 14001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- sistem de management de mediu;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creșterea “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conținutului de materiale reciclate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” din produsul finit;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achiziționarea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echipamente/soluții/tehnologii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având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componente reutilizabile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sau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utilizarea de materii prime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(inclusiv materii prime critice) obținute din materiale reciclate;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achiziționarea de echipamente electrice şi electronice având un procent minim de componente reutilizabile (exemplu: un procent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30% din totalul echipamentelor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să aibă componente reutilizabile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achiziționarea de materiale de construcții având în compoziție un procent minim de materii prime reutilizabile;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alte investiții specifice economiei circulare pentru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reducerea, prevenirea, pregătirea în vederea reutilizării, valorificarea materială și reciclarea deșeurilor generate de beneficiar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(ex: colectare selectivă, predarea deșeurilor de echipamente electrice şi electronice la centrele de colectare organizate de operatori economici autorizați pentru colectarea și reciclarea deșeurilor în baza unui contract etc.);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specifice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internaționalizării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extinderii piețelor de vânzare, a gamei de produse și servicii oferite de tipul (enumerarea nu este exhaustivă),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inclusiv activități de marketing generate de participarea solicitantului de finanțare, în calitate de expozant, la nivel național și/sau extern la târguri, expoziții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20"/>
        <w:jc w:val="left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Achiziție servicii: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realizarea analizei piețelor internaționale cu potențial și selectarea piețelor țintă,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realizarea strategiei de export pentru piețe externe,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crearea unor produse inovatoare pentru intrarea pe piețe internaționale,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realizare design pentru ambalare și etichetare,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realizarea brandului și promovare,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certificare și standarde de calitate,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promovare pe piețe externe,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participare la misiuni economice internaționale, târguri, expoziții, etc.;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de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formare profesională specifică pentru angajații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din cadrul microîntreprinderii, care vor fi implicați în operarea noilor tehnologii/ echipamente achiziționate prin proiect;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de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proiectare și consultanță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pentru elaborarea cererii de finanțare, a planului de afaceri și anexelor acestora;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privind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managementul implementării proiectului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privind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auditul financiar al proiectului și expertiză contabilă/declarația expertului contabil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obligatorii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comunicare și vizibilitate aferente proiectului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Pașii prin care trece un proiect de la idee la proiect finanțat si implementat cu succes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consultanță - cunoaștere a tuturor beneficiilor și obligațiilor din proiect;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contractare și colectare și generare documente necesare pentru elaborare;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propriu-zisă a proiectului de către Reprezentantul de proiect desemnat; 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înscrierea solicitanţilor și validarea înscrierii acestora;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depunerea proiectelor;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evaluarea proiectelor: analiza documentelor depuse, solicitarea de informații suplimentare, clarificări, dacă este cazul;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publicarea listei proiectelor admise și respinse;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semnarea contractelor de finanţare nerambursabilă, în termen de 10 zile calendaristice de la primirea contractului;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publicarea listei contractelor de finanțare semnate;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acceptarea solicitărilor de avans și plata acestora;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implementarea proiectelor de către Beneficiari;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decontarea sumelor solicitate de către Beneficiari;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monitorizarea funcționalității proiectului la Beneficiari;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monitorizarea durabilității proiectului la Beneficiari.</w:t>
      </w:r>
    </w:p>
    <w:p w:rsidR="00000000" w:rsidDel="00000000" w:rsidP="00000000" w:rsidRDefault="00000000" w:rsidRPr="00000000" w14:paraId="00000060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Kloth Invest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asigură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u w:val="single"/>
          <w:rtl w:val="0"/>
        </w:rPr>
        <w:t xml:space="preserve">implementarea proiectului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si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u w:val="single"/>
          <w:rtl w:val="0"/>
        </w:rPr>
        <w:t xml:space="preserve">asistență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prin departamentele de consultanță pe care le are pe toata durata derulării contractului de finanțare.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Cofinanțarea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este asigurată din fonduri proprii.</w:t>
        <w:br w:type="textWrapping"/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Pentru contact: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Telefon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0721 030 659 / 0749 043 371</w:t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Mail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hyperlink r:id="rId9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office@klothinvest.ro</w:t>
        </w:r>
      </w:hyperlink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Website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hyperlink r:id="rId10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www.klothinvest.ro/contact</w:t>
        </w:r>
      </w:hyperlink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>
          <w:rFonts w:ascii="Syne" w:cs="Syne" w:eastAsia="Syne" w:hAnsi="Syne"/>
          <w:b w:val="1"/>
          <w:sz w:val="24"/>
          <w:szCs w:val="24"/>
          <w:u w:val="singl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u w:val="single"/>
          <w:rtl w:val="0"/>
        </w:rPr>
        <w:t xml:space="preserve">Ești gata să-ți duci afacerea la nivelul următor? Nu rata oportunitatea unică oferită de Programul  Regional București-Ilfov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1101725</wp:posOffset>
            </wp:positionH>
            <wp:positionV relativeFrom="paragraph">
              <wp:posOffset>400050</wp:posOffset>
            </wp:positionV>
            <wp:extent cx="1457325" cy="1457325"/>
            <wp:effectExtent b="64650" l="64650" r="64650" t="64650"/>
            <wp:wrapNone/>
            <wp:docPr id="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21279603">
                      <a:off x="0" y="0"/>
                      <a:ext cx="1457325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3722176</wp:posOffset>
            </wp:positionH>
            <wp:positionV relativeFrom="paragraph">
              <wp:posOffset>248440</wp:posOffset>
            </wp:positionV>
            <wp:extent cx="1789275" cy="860664"/>
            <wp:effectExtent b="180339" l="71029" r="71029" t="180339"/>
            <wp:wrapNone/>
            <wp:docPr id="3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 rot="20863616">
                      <a:off x="0" y="0"/>
                      <a:ext cx="1789275" cy="8606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rPr>
          <w:rFonts w:ascii="Syne" w:cs="Syne" w:eastAsia="Syne" w:hAnsi="Syn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Syn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tabs>
        <w:tab w:val="center" w:leader="none" w:pos="4819"/>
        <w:tab w:val="right" w:leader="none" w:pos="9610"/>
      </w:tabs>
      <w:spacing w:after="0" w:lineRule="auto"/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1893570" cy="402590"/>
              <wp:effectExtent b="0" l="0" r="0" t="0"/>
              <wp:wrapSquare wrapText="bothSides" distB="0" distT="0" distL="114300" distR="114300"/>
              <wp:docPr descr="Telefon/Fax/Mobil: 0749043371…" id="3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2553" y="3612043"/>
                        <a:ext cx="1826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Telefon/Fax/Mobil: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0749043371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.000000238418579" w:before="0" w:line="251.00000381469727"/>
                            <w:ind w:left="0" w:right="805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office@klothinvest.ro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1893570" cy="402590"/>
              <wp:effectExtent b="0" l="0" r="0" t="0"/>
              <wp:wrapSquare wrapText="bothSides" distB="0" distT="0" distL="114300" distR="114300"/>
              <wp:docPr descr="Telefon/Fax/Mobil: 0749043371…" id="34" name="image6.png"/>
              <a:graphic>
                <a:graphicData uri="http://schemas.openxmlformats.org/drawingml/2006/picture">
                  <pic:pic>
                    <pic:nvPicPr>
                      <pic:cNvPr descr="Telefon/Fax/Mobil: 0749043371…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3570" cy="402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3987800</wp:posOffset>
              </wp:positionH>
              <wp:positionV relativeFrom="paragraph">
                <wp:posOffset>-177799</wp:posOffset>
              </wp:positionV>
              <wp:extent cx="1720850" cy="617220"/>
              <wp:effectExtent b="0" l="0" r="0" t="0"/>
              <wp:wrapNone/>
              <wp:docPr descr="J3/970/2021, | C.U.I.: 44112464 RO55BTRLRONCRT0599751801" id="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18913" y="3504728"/>
                        <a:ext cx="165417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J3/970/2021,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0000"/>
                              <w:sz w:val="16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C.U.I.: 44112464 RO55BTRLRONCRT0599751801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3987800</wp:posOffset>
              </wp:positionH>
              <wp:positionV relativeFrom="paragraph">
                <wp:posOffset>-177799</wp:posOffset>
              </wp:positionV>
              <wp:extent cx="1720850" cy="617220"/>
              <wp:effectExtent b="0" l="0" r="0" t="0"/>
              <wp:wrapNone/>
              <wp:docPr descr="J3/970/2021, | C.U.I.: 44112464 RO55BTRLRONCRT0599751801" id="33" name="image5.png"/>
              <a:graphic>
                <a:graphicData uri="http://schemas.openxmlformats.org/drawingml/2006/picture">
                  <pic:pic>
                    <pic:nvPicPr>
                      <pic:cNvPr descr="J3/970/2021, | C.U.I.: 44112464 RO55BTRLRONCRT0599751801"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850" cy="617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2680970</wp:posOffset>
          </wp:positionH>
          <wp:positionV relativeFrom="paragraph">
            <wp:posOffset>-60317</wp:posOffset>
          </wp:positionV>
          <wp:extent cx="365760" cy="318868"/>
          <wp:effectExtent b="0" l="0" r="0" t="0"/>
          <wp:wrapNone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760" cy="3188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842260" cy="645160"/>
          <wp:effectExtent b="0" l="0" r="0" t="0"/>
          <wp:wrapNone/>
          <wp:docPr id="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60" cy="645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C1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hyperlink" Target="http://www.klothinvest.ro/contact" TargetMode="External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klothinvest.ro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lothinvest.ro/wp-content/uploads/2024/07/Anexa-9-Lista-coduri-CAEN-eligibile-26-aprilie-2024-003-1.pdf" TargetMode="External"/><Relationship Id="rId8" Type="http://schemas.openxmlformats.org/officeDocument/2006/relationships/hyperlink" Target="https://klothinvest.ro/wp-content/uploads/2024/07/Grila-ETF_Bucuresti-Ilfov-1.8.1-1.xls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W7X8z7i9Blg8fJ+SOdX1PwwpQ==">CgMxLjA4AHIhMWxyYnNTamR1Qy1qdWFoajh4RVl2bkpnek9nSTBjRko3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2023-06-19T10:11:00Z</dcterms:created>
  <dc:creator>Popa Auras</dc:creator>
</cp:coreProperties>
</file>