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Digitalizare 25.000 - 200.000 euro</w:t>
      </w:r>
    </w:p>
    <w:p w:rsidR="00000000" w:rsidDel="00000000" w:rsidP="00000000" w:rsidRDefault="00000000" w:rsidRPr="00000000" w14:paraId="00000002">
      <w:pPr>
        <w:jc w:val="center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Programul Regional București-Ilfov</w:t>
      </w:r>
    </w:p>
    <w:p w:rsidR="00000000" w:rsidDel="00000000" w:rsidP="00000000" w:rsidRDefault="00000000" w:rsidRPr="00000000" w14:paraId="00000003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Îți aducem în prim-plan o oportunitate unică pentru microîntreprinderile, întreprinderile mici sau întreprinderile mijlocii din Regiunea București-Ilfov. </w:t>
        <w:br w:type="textWrapping"/>
        <w:br w:type="textWrapping"/>
        <w:t xml:space="preserve">Programul oferă suport financiar de la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25.000 -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200.000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cu scopul de a stimula digitalizarea activiății.</w:t>
        <w:br w:type="textWrapping"/>
        <w:br w:type="textWrapping"/>
        <w:t xml:space="preserve">Fie că e vorba de investiții în echipamente hardware, aplicații software/licențe sau dezvoltarea unei platforme de comerț electronic,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Apelul de proiecte PR BI P1/1.7/1/2024 - Apel dedicat sprijinului IMM pentru transformarea digitală avansată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este aici să aducă un plus afacerii tale.</w:t>
      </w:r>
    </w:p>
    <w:p w:rsidR="00000000" w:rsidDel="00000000" w:rsidP="00000000" w:rsidRDefault="00000000" w:rsidRPr="00000000" w14:paraId="00000004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Noi, la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Kloth Invest,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 angajăm să facem toate demersurile necesare pentru a asigura elaborarea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corectă și completă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documentației specifice programului de finanțare și să te ghidăm în accesarea acestui program, oferindu-ți toate detaliile necesare.</w:t>
        <w:br w:type="textWrapping"/>
        <w:br w:type="textWrapping"/>
        <w:t xml:space="preserve">Hai să maximizăm împreună această oportunitate pentru a transforma afacerea ta.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br w:type="textWrapping"/>
        <w:t xml:space="preserve">Îți prezentăm detaliile tehnice referitoare la accesarea programului: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Nume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Prioritatea 1 - O regiune competitivă prin inovare, digitalizare și întreprinderi dinamice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Instituția Finanțatoare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ADR București-Ilfov;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 Ajutor Nerambursabil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Între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25.000-200.000 Euro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Intensitatea 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ma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xim 90% din valoarea cheltuielilor eligibile;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Valoarea Cofinanțării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minim 10% din valoarea cheltuielilor eligibile​​ pentru punctaj maxim;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Aplicanți Eligibili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Microîntreprinderi, întreprinderi mici și mijlocii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cu sediul în regiunea București-Ilfov și locația de implementare în mediul urban/rural​​;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highlight w:val="whit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highlight w:val="white"/>
          <w:rtl w:val="0"/>
        </w:rPr>
        <w:t xml:space="preserve">Aplicanți Neeligibili</w:t>
      </w:r>
      <w:r w:rsidDel="00000000" w:rsidR="00000000" w:rsidRPr="00000000">
        <w:rPr>
          <w:rFonts w:ascii="Syne" w:cs="Syne" w:eastAsia="Syne" w:hAnsi="Syne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 în stare de insolvență, faliment, reorganizare judiciară, dizolvare, lichidare sau suspendare temporară a activității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fac obiectul unui ordin de recuperare în urma unei decizii anterioare a Comisiei Europene,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 află în una din situațiile incompatibile cu acordarea ajutorului de minimis din fonduri publice;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 în dificultate - doar pentru întreprinderi care au, la data declarației, cel puțin 3 ani de la înființare;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au fost găsiți vinovat pentru comiterea unei fraude/ infracțiuni referitoare la obţinerea şi utilizarea fondurilor europene;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desfășoară activități cu produse cu caracter erotic sau obscen, al jocurilor de noroc;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dețin pagini web care conțin acte sau materiale cu caracter obscen;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au datorii la bugetul de stat;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lineRule="auto"/>
        <w:ind w:left="144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au avut activitatea suspendată temporar oricând în anul curent depunerii cererii de finanțare și în anul fiscal anterior;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Eligibile: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Lista codurilor CAEN eligibile va fi disponibilă la momentul publicării Ghidului Solicitantului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Condiții Cod CAEN: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Solicitantul are autorizat codul CAEN eligibil vizat de investiție, la sediul principal sau la locația de implementare a proiectului;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Condiții de eligibilitate: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Întreprinderea a fost înființată cel târziu în prima zi lucrătoare din anul 2023;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Nu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 avut activitatea suspendată în perioada ultimului an fiscal încheiat (anul 2023) și nici în anul curent depunerii cererii de finanțare;</w:t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Domenii de Activitate/CAEN-uri Neeligibile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pescuitul și acvacultura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a produselor agricole;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primară de produse pescărești și de acvacultură;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prelucrare și comercializare ale produselor agricole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producție sau comercializare de armament, muniții, explozibili, tutun, alcool, substanțe aflate sub control național, plante, substanțe și preparate stupefiante și psihotrope;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legate de export către țări terțe sau către alte state membre;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producția sau prelucrarea produselor alimentare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Status Program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Activ, cu un buget aprobat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17.500.000 EUR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Perioada Depunere Proiecte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Nu avem o dată exactă, deoarece Ghidul nu a fost lansat.</w:t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Implementare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24 de luni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după semnarea contractului de finanțare dar mai multe informații vom avea odată cu publicarea Ghidului Solicitantului.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Durata + Obligații Perioada de Sustenabilitate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3 ani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 la ultima plată efectuată prin program, dar multe informații vom avea odată cu publicarea Ghidului Solicitantului.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Criterii punctaj: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Click aici!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Punctajul maxim care se poate obţine este de 100 de puncte.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Selectarea şi contractarea proiectelor se va face după următorul algoritm: Selectarea proiectelor se va face în ordinea descrescătoare a punctajului obţinut.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Opis de Documente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Ghidul fiind încă în consultare publică, lista de mai jos poate să nu fie cea finală, putând interveni modificări pe care le vom anunța.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Tipul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eligibile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directe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necesare activității pentru care solicită finanțare în valoare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minimum 50%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din bugetul eligibil al proiectului.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Achiziționarea de echipamente hardware TIC/ERP/CRM/RPA/IoT/AI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și a altor dispozitive și echipamente aferente, inclusiv activități de instalare, configurare, punere în funcțiune (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exemple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servere, laptop-uri, pc all in one, sisteme de coduri, platforme de analiză de date). Prețul unui echipament tehnologic trebuie să fie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peste 2.500 lei fără tva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Achiziția de servicii pentru implementarea și consolidarea soluțiilor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securitate cibernetică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aplicabile pentru rețelele, dispozitivele, aplicațiile, sistemele vizate de investițiile din proiect pe perioada de implementare a proiectului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spacing w:after="0" w:before="0" w:line="276" w:lineRule="auto"/>
        <w:ind w:left="216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Alte cheltuieli eligibile directe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necesare pentru transformarea digitală avansată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care reies din auditul de maturitate digitală - Auditul este esențial pentru a identifica ce trebuie să îmbunătățiți și ce echipamente sau programe noi sunt necesare. </w:t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consultanță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pentru elaborarea cererii de finanțare, a planului de digitalizare și a auditului de maturitate digitală, care va include nivelul de intensitate digitală inițial și soluția digitală propusă pentru atingerea unei intensități ridicate și anexele acestora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2160" w:firstLine="0"/>
        <w:rPr>
          <w:rFonts w:ascii="Syne" w:cs="Syne" w:eastAsia="Syne" w:hAnsi="Syne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Syne" w:cs="Syne" w:eastAsia="Syne" w:hAnsi="Syne"/>
          <w:b w:val="1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indirecte: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managementul implementării proiectului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privind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auditul IT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al proiectului, care confirmă implementarea soluției digitale pentru transformarea digitală avansată și expertiză contabilă/declarația expertului contabil</w:t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spacing w:after="0" w:line="276" w:lineRule="auto"/>
        <w:ind w:left="216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Activități obligatorii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comunicare și vizibilitate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aferente proiectului.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ab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Cheltuielile indirecte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sunt eligibile în procent de maxim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7%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din cheltuielile directe.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IX. Cheltuieli neeligibile: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cheltuielile pentru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achiziţionarea de imobile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(teren/clădire);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cheltuielile pentru procurarea de bunuri care, conform legii, intră în categoria obiectelor de inventar (cu valoare sub 2.500 lei)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costuri administrative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salariile;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chiriile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utilitati (energie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combustibil și alte consumuri similare);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cheltuieli financiare, respectiv prime de asigurare, taxe, comisioane, rate și dobânzi aferente creditelor;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leasingul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francize;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dotări/echipamente/utilaje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second-hand;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amenzi, penalităţi, dobânzi, cheltuieli de judecată şi cheltuieli de arbitraj;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cheltuielile aferente activităților de astrologie și spiritism, inclusiv on-line, servicii personale de tipul: servicii de escortă, servicii de stabilire a întâlnirilor, servicii ale agențiilor matrimoniale, video chat on-line pentru consiliere matrimonială și psihologică, jocuri de noroc, activități cu caracter erotic sau obscen;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sistemele de minare/stocare pentru criptomonede;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cheltuieli pentru achiziționarea de utilaje/vehicule care funcționează prin arderea combustibililor fosili;</w:t>
      </w:r>
    </w:p>
    <w:p w:rsidR="00000000" w:rsidDel="00000000" w:rsidP="00000000" w:rsidRDefault="00000000" w:rsidRPr="00000000" w14:paraId="0000004E">
      <w:pPr>
        <w:ind w:left="0" w:firstLine="0"/>
        <w:jc w:val="both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Pașii prin care trece un proiect de la idee la proiect finanțat si implementat cu succes 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consultanță - cunoaștere a tuturor beneficiilor și obligațiilor din proiect;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contractare și colectare și generare documente necesare pentru elaborare;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propriu-zisă a proiectului de către Reprezentantul de proiect desemnat; </w:t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înscrierea solicitanţilor și validarea înscrierii acestora;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depunerea proiectelor;</w:t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evaluarea proiectelor: analiza documentelor depuse, solicitarea de informații suplimentare, clarificări, dacă este cazul;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proiectelor admise și respinse;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semnarea contractelor de finanţare nerambursabilă, în termen de 10 zile calendaristice de la primirea contractului;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publicarea listei contractelor de finanțare semnate;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acceptarea solicitărilor de avans și plata acestora;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implementarea proiectelor de către Beneficiari;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decontarea sumelor solicitate de către Beneficiari;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funcționalității proiectului la Beneficiari;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monitorizarea durabilității proiectului la Beneficiari.</w:t>
      </w:r>
    </w:p>
    <w:p w:rsidR="00000000" w:rsidDel="00000000" w:rsidP="00000000" w:rsidRDefault="00000000" w:rsidRPr="00000000" w14:paraId="0000005D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Kloth Invest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asigură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implementarea proiectului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si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u w:val="single"/>
          <w:rtl w:val="0"/>
        </w:rPr>
        <w:t xml:space="preserve">asistență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prin departamentele de consultanță pe care le are pe toata durata derulării contractului de finanțare. </w:t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Cofinanțarea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este asigurată din fonduri proprii.</w:t>
        <w:br w:type="textWrapping"/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Pentru contact: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Telefon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0746 278 278</w:t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Mail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office@klothinvest.ro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Website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: </w:t>
      </w:r>
      <w:hyperlink r:id="rId9">
        <w:r w:rsidDel="00000000" w:rsidR="00000000" w:rsidRPr="00000000">
          <w:rPr>
            <w:rFonts w:ascii="Syne" w:cs="Syne" w:eastAsia="Syne" w:hAnsi="Syne"/>
            <w:color w:val="1155cc"/>
            <w:sz w:val="24"/>
            <w:szCs w:val="24"/>
            <w:u w:val="single"/>
            <w:rtl w:val="0"/>
          </w:rPr>
          <w:t xml:space="preserve">www.klothinvest.ro/contact</w:t>
        </w:r>
      </w:hyperlink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u w:val="single"/>
          <w:rtl w:val="0"/>
        </w:rPr>
        <w:t xml:space="preserve">Ești gata să-ți duci afacerea la nivelul următor? Nu rata oportunitatea unică oferită de Programul  Regional București-Ilfov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561975</wp:posOffset>
            </wp:positionV>
            <wp:extent cx="1457325" cy="1457325"/>
            <wp:effectExtent b="64650" l="64650" r="64650" t="64650"/>
            <wp:wrapNone/>
            <wp:docPr id="4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21279603">
                      <a:off x="0" y="0"/>
                      <a:ext cx="1457325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rPr>
          <w:rFonts w:ascii="Syne" w:cs="Syne" w:eastAsia="Syne" w:hAnsi="Syne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3638550</wp:posOffset>
            </wp:positionH>
            <wp:positionV relativeFrom="paragraph">
              <wp:posOffset>179959</wp:posOffset>
            </wp:positionV>
            <wp:extent cx="1789275" cy="860664"/>
            <wp:effectExtent b="180339" l="71029" r="71029" t="180339"/>
            <wp:wrapNone/>
            <wp:docPr id="5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0863616">
                      <a:off x="0" y="0"/>
                      <a:ext cx="1789275" cy="860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Syn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tabs>
        <w:tab w:val="center" w:leader="none" w:pos="4819"/>
        <w:tab w:val="right" w:leader="none" w:pos="9610"/>
      </w:tabs>
      <w:spacing w:after="0" w:lineRule="auto"/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912620" cy="421640"/>
              <wp:effectExtent b="0" l="0" r="0" t="0"/>
              <wp:wrapSquare wrapText="bothSides" distB="0" distT="0" distL="114300" distR="114300"/>
              <wp:docPr descr="Telefon/Fax/Mobil: 0749043371…" id="4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2553" y="3612043"/>
                        <a:ext cx="1826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Telefon/Fax/Mobil: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0749043371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.000000238418579" w:before="0" w:line="251.00000381469727"/>
                            <w:ind w:left="0" w:right="80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office@klothinvest.ro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-76199</wp:posOffset>
              </wp:positionV>
              <wp:extent cx="1912620" cy="421640"/>
              <wp:effectExtent b="0" l="0" r="0" t="0"/>
              <wp:wrapSquare wrapText="bothSides" distB="0" distT="0" distL="114300" distR="114300"/>
              <wp:docPr descr="Telefon/Fax/Mobil: 0749043371…" id="46" name="image6.png"/>
              <a:graphic>
                <a:graphicData uri="http://schemas.openxmlformats.org/drawingml/2006/picture">
                  <pic:pic>
                    <pic:nvPicPr>
                      <pic:cNvPr descr="Telefon/Fax/Mobil: 0749043371…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2620" cy="421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-177799</wp:posOffset>
              </wp:positionV>
              <wp:extent cx="1739900" cy="636270"/>
              <wp:effectExtent b="0" l="0" r="0" t="0"/>
              <wp:wrapNone/>
              <wp:docPr descr="J3/970/2021, | C.U.I.: 44112464 RO55BTRLRONCRT0599751801" id="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18913" y="3504728"/>
                        <a:ext cx="16541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J3/970/2021,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C.U.I.: 44112464 RO55BTRLRONCRT0599751801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-177799</wp:posOffset>
              </wp:positionV>
              <wp:extent cx="1739900" cy="636270"/>
              <wp:effectExtent b="0" l="0" r="0" t="0"/>
              <wp:wrapNone/>
              <wp:docPr descr="J3/970/2021, | C.U.I.: 44112464 RO55BTRLRONCRT0599751801" id="45" name="image4.png"/>
              <a:graphic>
                <a:graphicData uri="http://schemas.openxmlformats.org/drawingml/2006/picture">
                  <pic:pic>
                    <pic:nvPicPr>
                      <pic:cNvPr descr="J3/970/2021, | C.U.I.: 44112464 RO55BTRLRONCRT0599751801"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9900" cy="636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2680970</wp:posOffset>
          </wp:positionH>
          <wp:positionV relativeFrom="paragraph">
            <wp:posOffset>-60315</wp:posOffset>
          </wp:positionV>
          <wp:extent cx="365760" cy="318868"/>
          <wp:effectExtent b="0" l="0" r="0" t="0"/>
          <wp:wrapNone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" cy="318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842260" cy="645160"/>
          <wp:effectExtent b="0" l="0" r="0" t="0"/>
          <wp:wrapNone/>
          <wp:docPr id="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60" cy="645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C1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5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lothinvest.ro/contac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htwZjOiqBQdii6_GmuqQWqYBHeKtFXBMBvYbS02QgQQ/edit?tab=t.0" TargetMode="External"/><Relationship Id="rId8" Type="http://schemas.openxmlformats.org/officeDocument/2006/relationships/hyperlink" Target="mailto:office@klothinvest.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6h/V4oodd7I7NjrzcumVeyeew==">CgMxLjA4AHIhMW5MV3lRSXFQSXpHX2kzWHU4RFVWWjRhTXhheHpXbTF5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2023-06-19T10:11:00Z</dcterms:created>
  <dc:creator>Popa Auras</dc:creator>
</cp:coreProperties>
</file>